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TENTATIVE AGENDA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ORRICK BOARD OF EDUCATION REGULAR MEETING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MONDAY, FEBRUARY 22, 2021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7:00PM          ROOM 5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Open Session &amp; Pledge of Allegiance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Approve Consent Agenda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Approve Minutes of January 20, 2021 Meeting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Approve Bills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Approve Transfer of Money from Fund 1 to Fund 2 to Meet Monthly Expenditures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Approve February Surplus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16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Administrative Reports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A. Superintendent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B. Elementary and High School Reports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Adopt 2021-2022 District Calendar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Approve Program Evaluation: Professional Development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highlight w:val="white"/>
        </w:rPr>
      </w:pPr>
      <w:r w:rsidDel="00000000" w:rsidR="00000000" w:rsidRPr="00000000">
        <w:rPr>
          <w:rtl w:val="0"/>
        </w:rPr>
        <w:t xml:space="preserve">Approve Program Evaluation: Library Media Services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Approve purchase of Clevertouch boards.</w:t>
      </w:r>
    </w:p>
    <w:p w:rsidR="00000000" w:rsidDel="00000000" w:rsidP="00000000" w:rsidRDefault="00000000" w:rsidRPr="00000000" w14:paraId="00000017">
      <w:pPr>
        <w:spacing w:line="240" w:lineRule="auto"/>
        <w:ind w:left="144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Go to Closed Session as Described in Section 610.021 RsMO regarding: 3) Hiring, firing, disciplining, or promoting of particular employees and 13) records pertaining to employees or applicants for employment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Bad Script" w:cs="Bad Script" w:eastAsia="Bad Script" w:hAnsi="Bad Script"/>
          <w:sz w:val="24"/>
          <w:szCs w:val="24"/>
          <w:rtl w:val="0"/>
        </w:rPr>
        <w:t xml:space="preserve">Posted: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February 1819, 2021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12:00 pm</w:t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d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d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