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TENTATIVE AGENDA - REVISED</w:t>
        <w:br w:type="textWrapping"/>
        <w:t xml:space="preserve">ORRICK BOARD OF EDUCATION REGULAR MEETING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JANUARY 22, 2021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7:00PM         ROOM 5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Open Session &amp; Pledge of Allegiance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Approve Consent Agenda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Approval of Minutes of December 16, 2020 Meeting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Bills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Transfer of Money from Fund 1 to Fund 2 to Meet Monthly Expenditures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Administrative Reports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Principals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Superintendent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Business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Approve New Tierney Brothers Clever Touch Board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and Approve </w:t>
      </w:r>
      <w:r w:rsidDel="00000000" w:rsidR="00000000" w:rsidRPr="00000000">
        <w:rPr>
          <w:color w:val="202124"/>
          <w:rtl w:val="0"/>
        </w:rPr>
        <w:t xml:space="preserve">New EGS Board Resolution and Procedure for Additional COVID-19 Leave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Program Evaluation: Facilities &amp; Grounds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Program Evaluation: Effective Assessment Practices</w:t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Go to Closed Session as Described in Section 610.021 RsMO regarding: 12) individually identifiable records, performance ratings, or records pertaining to employees or applicants for employment; and 13) records which are protected by law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Posted: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January 16, 12:00PM</w:t>
      </w:r>
    </w:p>
    <w:sectPr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